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outlineLvl w:val="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bookmarkStart w:id="0" w:name="_Toc30955"/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auto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lang w:val="en-US" w:eastAsia="zh-CN"/>
        </w:rPr>
        <w:t>2019年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</w:rPr>
        <w:t>钢铁企业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lang w:eastAsia="zh-CN"/>
        </w:rPr>
        <w:t>单位产品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</w:rPr>
        <w:t>工序能耗</w:t>
      </w:r>
    </w:p>
    <w:bookmarkEnd w:id="1"/>
    <w:p>
      <w:pPr>
        <w:snapToGrid w:val="0"/>
        <w:spacing w:line="280" w:lineRule="exact"/>
        <w:outlineLvl w:val="0"/>
        <w:rPr>
          <w:rFonts w:hint="eastAsia" w:ascii="黑体" w:hAnsi="黑体" w:eastAsia="黑体" w:cs="宋体"/>
          <w:color w:val="auto"/>
          <w:sz w:val="32"/>
          <w:szCs w:val="32"/>
        </w:rPr>
      </w:pPr>
    </w:p>
    <w:tbl>
      <w:tblPr>
        <w:tblStyle w:val="3"/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焦化工序能耗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烧结工序能耗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球团工序能耗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高炉工序能耗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转炉工序能耗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电弧炉工序能耗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宁夏钢铁（集团）有限责任公司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-14.98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宁夏兴华钢铁有限公司（原宁夏博宇红星特钢集团有限公司）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420.07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-14.53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宁夏申银特钢股份有限公司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-18.197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83669"/>
    <w:rsid w:val="0A6836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2020-06-29T09:52:00Z</dcterms:created>
  <dc:creator>鲍成</dc:creator>
  <cp:lastModifiedBy>鲍成</cp:lastModifiedBy>
  <dcterms:modified xsi:type="dcterms:W3CDTF">2020-06-29T09:53:18Z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